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597C6527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35040A">
              <w:rPr>
                <w:b/>
                <w:color w:val="365F91"/>
                <w:lang w:val="es-ES_tradnl"/>
              </w:rPr>
              <w:t>3.2(3)</w:t>
            </w:r>
          </w:p>
        </w:tc>
      </w:tr>
      <w:tr w:rsidR="00041727" w:rsidRPr="00633FDB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7331E8CB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35040A">
              <w:rPr>
                <w:bCs/>
                <w:color w:val="365F91"/>
              </w:rPr>
              <w:t>presidente de la INFCOM</w:t>
            </w:r>
          </w:p>
          <w:p w14:paraId="58B64AA7" w14:textId="4B40E186" w:rsidR="00041727" w:rsidRPr="00633FDB" w:rsidRDefault="0035040A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19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445952D8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35040A">
        <w:rPr>
          <w:b/>
        </w:rPr>
        <w:t>3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35040A">
        <w:rPr>
          <w:b/>
        </w:rPr>
        <w:t>APLICACIÓN DE LAS DECISIONES DEL CONGRESO: CUESTIONES TÉCNICAS</w:t>
      </w:r>
    </w:p>
    <w:p w14:paraId="5E396B9F" w14:textId="2A523EF2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35040A">
        <w:rPr>
          <w:b/>
        </w:rPr>
        <w:t>3.2</w:t>
      </w:r>
      <w:r w:rsidRPr="00633FDB">
        <w:rPr>
          <w:b/>
        </w:rPr>
        <w:t>:</w:t>
      </w:r>
      <w:r w:rsidRPr="00633FDB">
        <w:rPr>
          <w:b/>
        </w:rPr>
        <w:tab/>
      </w:r>
      <w:r w:rsidR="0035040A">
        <w:rPr>
          <w:b/>
        </w:rPr>
        <w:t>Meta a largo 2: Observaciones y predicciones del sistema Tierra</w:t>
      </w:r>
    </w:p>
    <w:p w14:paraId="207D3BFC" w14:textId="2C031E5F" w:rsidR="00814CC6" w:rsidRPr="00633FDB" w:rsidRDefault="009B25C7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9B25C7">
        <w:rPr>
          <w:lang w:val="es-ES"/>
        </w:rPr>
        <w:t>GUÍA DE LA RED MUNDIAL BÁSICA DE OBSERVACIONES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C75B32" w14:paraId="6936F47D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7B919C82" w:rsidR="00581CFE" w:rsidRPr="00B2502A" w:rsidRDefault="00581CFE" w:rsidP="00B2502A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B2502A">
              <w:rPr>
                <w:lang w:val="es-ES"/>
              </w:rPr>
              <w:t xml:space="preserve">el presidente de la </w:t>
            </w:r>
            <w:r w:rsidR="00B2502A" w:rsidRPr="00B2502A">
              <w:rPr>
                <w:lang w:val="es-ES"/>
              </w:rPr>
              <w:t>Comisión de Observaciones, Infraestructura y Sistemas de Información</w:t>
            </w:r>
            <w:r w:rsidR="00B2502A">
              <w:rPr>
                <w:lang w:val="es-ES"/>
              </w:rPr>
              <w:t xml:space="preserve"> (INFCOM), en relación con la Recomendación 10 (INFCOM-2) </w:t>
            </w:r>
            <w:r w:rsidR="00D534C3" w:rsidRPr="009D6720">
              <w:rPr>
                <w:lang w:val="es-ES"/>
              </w:rPr>
              <w:t>—</w:t>
            </w:r>
            <w:r w:rsidR="00B2502A">
              <w:rPr>
                <w:lang w:val="es-ES"/>
              </w:rPr>
              <w:t xml:space="preserve"> Ve</w:t>
            </w:r>
            <w:r w:rsidR="00B2502A" w:rsidRPr="00B2502A">
              <w:rPr>
                <w:lang w:val="es-ES"/>
              </w:rPr>
              <w:t>rsión inicial de la Guía de Red Mundial Básica de Observaciones</w:t>
            </w:r>
          </w:p>
          <w:p w14:paraId="23EFDEE1" w14:textId="0C78D368" w:rsidR="00581CFE" w:rsidRPr="009B25C7" w:rsidRDefault="00581CFE" w:rsidP="00B2502A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9B25C7" w:rsidRPr="009B25C7">
              <w:rPr>
                <w:lang w:val="es-ES"/>
              </w:rPr>
              <w:t>2.1, y sus resultados estratégicos 2.1.1 y 2.1.2</w:t>
            </w:r>
          </w:p>
          <w:p w14:paraId="4446254B" w14:textId="2D2547C9" w:rsidR="00581CFE" w:rsidRDefault="00581CFE" w:rsidP="00B2502A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9B25C7">
              <w:rPr>
                <w:lang w:val="es-ES"/>
              </w:rPr>
              <w:t>dentro de los parámetros del Plan Estratégico y del Plan de Funcionamiento de la Organización Meteorológica Mundial (OMM) para 2020-2023. Se pondrán de manifiesto en el Plan Estratégico y el Plan de Funcionamiento de la OMM para 2024-2027</w:t>
            </w:r>
          </w:p>
          <w:p w14:paraId="521199FE" w14:textId="46A68B28" w:rsidR="00581CFE" w:rsidRDefault="00581CFE" w:rsidP="00B2502A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9B25C7">
              <w:rPr>
                <w:lang w:val="es-ES"/>
              </w:rPr>
              <w:t>INFCOM y los Miembros</w:t>
            </w:r>
          </w:p>
          <w:p w14:paraId="084D86C2" w14:textId="3D1CC238" w:rsidR="00581CFE" w:rsidRDefault="00581CFE" w:rsidP="00B2502A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9B25C7">
              <w:rPr>
                <w:lang w:val="es-ES"/>
              </w:rPr>
              <w:t>2023-202</w:t>
            </w:r>
          </w:p>
          <w:p w14:paraId="21378005" w14:textId="2434C4C1" w:rsidR="00581CFE" w:rsidRPr="00633FDB" w:rsidRDefault="00581CFE" w:rsidP="00B2502A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B2502A">
              <w:rPr>
                <w:lang w:val="es-ES"/>
              </w:rPr>
              <w:t>aprobar el proyecto de resolución</w:t>
            </w:r>
          </w:p>
        </w:tc>
      </w:tr>
      <w:tr w:rsidR="00581CFE" w:rsidRPr="00C75B32" w14:paraId="63F39002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3D8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230471B4" w14:textId="77777777" w:rsidR="00B01B02" w:rsidRPr="007A7971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345D0A50" w14:textId="77777777" w:rsidR="00B2502A" w:rsidRPr="004D0B08" w:rsidRDefault="00B2502A" w:rsidP="00B2502A">
      <w:pPr>
        <w:pStyle w:val="Heading1"/>
        <w:rPr>
          <w:lang w:val="es-ES"/>
        </w:rPr>
      </w:pPr>
      <w:r w:rsidRPr="004D0B08">
        <w:rPr>
          <w:lang w:val="es-ES"/>
        </w:rPr>
        <w:lastRenderedPageBreak/>
        <w:t>CONSIDERAcIONeS GENERALES</w:t>
      </w:r>
    </w:p>
    <w:p w14:paraId="70615D66" w14:textId="77777777" w:rsidR="00B2502A" w:rsidRDefault="00B2502A" w:rsidP="00B2502A">
      <w:pPr>
        <w:pStyle w:val="WMOBodyText"/>
        <w:rPr>
          <w:b/>
          <w:bCs/>
        </w:rPr>
      </w:pPr>
      <w:r>
        <w:rPr>
          <w:b/>
          <w:bCs/>
          <w:lang w:val="es-ES"/>
        </w:rPr>
        <w:t>Introducción</w:t>
      </w:r>
    </w:p>
    <w:p w14:paraId="6249170D" w14:textId="65097D9E" w:rsidR="00B2502A" w:rsidRDefault="00B2502A" w:rsidP="00B2502A">
      <w:pPr>
        <w:pStyle w:val="WMOBodyText"/>
        <w:tabs>
          <w:tab w:val="left" w:pos="1134"/>
        </w:tabs>
        <w:ind w:hanging="11"/>
      </w:pPr>
      <w:r>
        <w:t>1.</w:t>
      </w:r>
      <w:r>
        <w:tab/>
      </w:r>
      <w:r>
        <w:rPr>
          <w:lang w:val="es-ES"/>
        </w:rPr>
        <w:t xml:space="preserve">En virtud de la </w:t>
      </w:r>
      <w:hyperlink r:id="rId12" w:anchor="page=33" w:history="1">
        <w:r w:rsidRPr="009D6720">
          <w:rPr>
            <w:rStyle w:val="Hyperlink"/>
            <w:lang w:val="es-ES"/>
          </w:rPr>
          <w:t>Resolución 2 (Cg-Ext(2021))</w:t>
        </w:r>
      </w:hyperlink>
      <w:r>
        <w:rPr>
          <w:lang w:val="es-ES"/>
        </w:rPr>
        <w:t xml:space="preserve"> </w:t>
      </w:r>
      <w:r w:rsidRPr="009D6720">
        <w:rPr>
          <w:lang w:val="es-ES"/>
        </w:rPr>
        <w:t>—</w:t>
      </w:r>
      <w:r>
        <w:rPr>
          <w:lang w:val="es-ES"/>
        </w:rPr>
        <w:t xml:space="preserve"> Enmiendas al Reglamento Técnico relativas al establecimiento de la Red Mundial Básica de Observaciones, el Congreso decidió que las disposiciones del Reglamento Técnico aplicables a la Red Mundial Básica de Observaciones (GBON) entrarían en vigor a partir del 1 de enero de 2023 y solicitó a la </w:t>
      </w:r>
      <w:r w:rsidR="00676F85" w:rsidRPr="00676F85">
        <w:rPr>
          <w:lang w:val="es-ES"/>
        </w:rPr>
        <w:t>Comisión de Observaciones, Infraestructura y Sistemas de Información</w:t>
      </w:r>
      <w:r w:rsidR="00676F85">
        <w:rPr>
          <w:lang w:val="es-ES"/>
        </w:rPr>
        <w:t xml:space="preserve"> (INFCOM)</w:t>
      </w:r>
      <w:r>
        <w:rPr>
          <w:lang w:val="es-ES"/>
        </w:rPr>
        <w:t xml:space="preserve">, entre otros, que elaborase las </w:t>
      </w:r>
      <w:r w:rsidR="00476F5E">
        <w:rPr>
          <w:lang w:val="es-ES"/>
        </w:rPr>
        <w:t>directrices</w:t>
      </w:r>
      <w:r>
        <w:rPr>
          <w:lang w:val="es-ES"/>
        </w:rPr>
        <w:t xml:space="preserve">, </w:t>
      </w:r>
      <w:r w:rsidR="00476F5E">
        <w:rPr>
          <w:lang w:val="es-ES"/>
        </w:rPr>
        <w:t xml:space="preserve">los </w:t>
      </w:r>
      <w:r>
        <w:rPr>
          <w:lang w:val="es-ES"/>
        </w:rPr>
        <w:t xml:space="preserve">procesos y </w:t>
      </w:r>
      <w:r w:rsidR="00476F5E">
        <w:rPr>
          <w:lang w:val="es-ES"/>
        </w:rPr>
        <w:t xml:space="preserve">los </w:t>
      </w:r>
      <w:r>
        <w:rPr>
          <w:lang w:val="es-ES"/>
        </w:rPr>
        <w:t xml:space="preserve">procedimientos técnicos necesarios para </w:t>
      </w:r>
      <w:r w:rsidR="00D671B4">
        <w:rPr>
          <w:lang w:val="es-ES"/>
        </w:rPr>
        <w:t>implementar</w:t>
      </w:r>
      <w:r w:rsidR="00476F5E">
        <w:rPr>
          <w:lang w:val="es-ES"/>
        </w:rPr>
        <w:t xml:space="preserve"> la GBON de forma</w:t>
      </w:r>
      <w:r>
        <w:rPr>
          <w:lang w:val="es-ES"/>
        </w:rPr>
        <w:t xml:space="preserve"> </w:t>
      </w:r>
      <w:r w:rsidR="00476F5E">
        <w:rPr>
          <w:lang w:val="es-ES"/>
        </w:rPr>
        <w:t>oportuna</w:t>
      </w:r>
      <w:r>
        <w:rPr>
          <w:lang w:val="es-ES"/>
        </w:rPr>
        <w:t xml:space="preserve"> y eficiente</w:t>
      </w:r>
      <w:r w:rsidR="00476F5E">
        <w:rPr>
          <w:lang w:val="es-ES"/>
        </w:rPr>
        <w:t xml:space="preserve">, </w:t>
      </w:r>
      <w:r>
        <w:rPr>
          <w:lang w:val="es-ES"/>
        </w:rPr>
        <w:t xml:space="preserve">y adoptase las medidas requeridas para realizar un seguimiento eficaz del </w:t>
      </w:r>
      <w:r w:rsidRPr="00DC2FA3">
        <w:rPr>
          <w:lang w:val="es-ES"/>
        </w:rPr>
        <w:t xml:space="preserve">rendimiento y la conformidad de la red. </w:t>
      </w:r>
      <w:r w:rsidRPr="00DC2FA3">
        <w:rPr>
          <w:i/>
          <w:iCs/>
          <w:lang w:val="es-ES"/>
        </w:rPr>
        <w:t>[Para más información, sírvase consultar los documentos</w:t>
      </w:r>
      <w:r w:rsidR="00476F5E" w:rsidRPr="00DC2FA3">
        <w:rPr>
          <w:i/>
          <w:iCs/>
          <w:lang w:val="es-ES"/>
        </w:rPr>
        <w:t xml:space="preserve"> </w:t>
      </w:r>
      <w:hyperlink r:id="rId13" w:history="1">
        <w:r w:rsidR="00476F5E" w:rsidRPr="00DC2FA3">
          <w:rPr>
            <w:rStyle w:val="Hyperlink"/>
            <w:i/>
            <w:iCs/>
            <w:lang w:val="es-ES"/>
          </w:rPr>
          <w:t>EC-76/Doc. 3.2(1)</w:t>
        </w:r>
      </w:hyperlink>
      <w:r w:rsidR="00D534C3" w:rsidRPr="00DC2FA3">
        <w:rPr>
          <w:i/>
          <w:iCs/>
          <w:lang w:val="es-ES"/>
        </w:rPr>
        <w:t xml:space="preserve"> —</w:t>
      </w:r>
      <w:r w:rsidRPr="00DC2FA3">
        <w:rPr>
          <w:i/>
          <w:iCs/>
          <w:lang w:val="es-ES"/>
        </w:rPr>
        <w:t xml:space="preserve"> </w:t>
      </w:r>
      <w:r w:rsidR="00D534C3" w:rsidRPr="00DC2FA3">
        <w:rPr>
          <w:i/>
          <w:iCs/>
          <w:lang w:val="es-ES"/>
        </w:rPr>
        <w:t>Enmiendas al</w:t>
      </w:r>
      <w:r w:rsidRPr="00DC2FA3">
        <w:rPr>
          <w:i/>
          <w:iCs/>
          <w:lang w:val="es-ES"/>
        </w:rPr>
        <w:t xml:space="preserve"> Manual del Sistema Mundial Integrado de Sistemas de Observación de la OMM</w:t>
      </w:r>
      <w:r w:rsidR="00D534C3" w:rsidRPr="00DC2FA3">
        <w:rPr>
          <w:i/>
          <w:iCs/>
          <w:lang w:val="es-ES"/>
        </w:rPr>
        <w:t xml:space="preserve"> </w:t>
      </w:r>
      <w:r w:rsidR="00D534C3" w:rsidRPr="00DC2FA3">
        <w:rPr>
          <w:i/>
          <w:iCs/>
          <w:spacing w:val="2"/>
          <w:lang w:val="es-ES"/>
        </w:rPr>
        <w:t>(OMM-</w:t>
      </w:r>
      <w:proofErr w:type="spellStart"/>
      <w:r w:rsidR="00D534C3" w:rsidRPr="00DC2FA3">
        <w:rPr>
          <w:i/>
          <w:iCs/>
          <w:spacing w:val="2"/>
          <w:lang w:val="es-ES"/>
        </w:rPr>
        <w:t>N°</w:t>
      </w:r>
      <w:proofErr w:type="spellEnd"/>
      <w:r w:rsidR="003351C7">
        <w:rPr>
          <w:i/>
          <w:iCs/>
          <w:spacing w:val="2"/>
          <w:lang w:val="es-ES"/>
        </w:rPr>
        <w:t> </w:t>
      </w:r>
      <w:r w:rsidR="00D534C3" w:rsidRPr="00DC2FA3">
        <w:rPr>
          <w:i/>
          <w:iCs/>
          <w:spacing w:val="2"/>
          <w:lang w:val="es-ES"/>
        </w:rPr>
        <w:t>1160)</w:t>
      </w:r>
      <w:r w:rsidRPr="00DC2FA3">
        <w:rPr>
          <w:i/>
          <w:iCs/>
          <w:lang w:val="es-ES"/>
        </w:rPr>
        <w:t xml:space="preserve"> y el nuevo apéndice 3.1 sobre el proceso de designación de estaciones de la GBON</w:t>
      </w:r>
      <w:r w:rsidR="00D534C3" w:rsidRPr="00DC2FA3">
        <w:rPr>
          <w:i/>
          <w:iCs/>
          <w:lang w:val="es-ES"/>
        </w:rPr>
        <w:t xml:space="preserve">, y </w:t>
      </w:r>
      <w:hyperlink r:id="rId14" w:history="1">
        <w:r w:rsidR="00D534C3" w:rsidRPr="00DC2FA3">
          <w:rPr>
            <w:rStyle w:val="Hyperlink"/>
            <w:i/>
            <w:iCs/>
            <w:lang w:val="es-ES"/>
          </w:rPr>
          <w:t>EC-76/Doc. 3.2(2)</w:t>
        </w:r>
      </w:hyperlink>
      <w:r w:rsidR="002206E8" w:rsidRPr="00DC2FA3">
        <w:rPr>
          <w:i/>
          <w:iCs/>
          <w:lang w:val="es-ES"/>
        </w:rPr>
        <w:t xml:space="preserve"> —</w:t>
      </w:r>
      <w:r w:rsidR="003351C7">
        <w:rPr>
          <w:i/>
          <w:iCs/>
          <w:lang w:val="es-ES"/>
        </w:rPr>
        <w:t xml:space="preserve"> </w:t>
      </w:r>
      <w:r w:rsidRPr="002206E8">
        <w:rPr>
          <w:i/>
          <w:iCs/>
          <w:lang w:val="es-ES"/>
        </w:rPr>
        <w:t>Guía del Sistema Mundial Integrado de Sistemas de Observación de la OMM</w:t>
      </w:r>
      <w:r w:rsidR="002206E8" w:rsidRPr="002206E8">
        <w:rPr>
          <w:i/>
          <w:iCs/>
          <w:lang w:val="es-ES"/>
        </w:rPr>
        <w:t xml:space="preserve"> </w:t>
      </w:r>
      <w:r w:rsidR="002206E8" w:rsidRPr="002206E8">
        <w:rPr>
          <w:i/>
          <w:iCs/>
          <w:spacing w:val="2"/>
          <w:lang w:val="es-ES"/>
        </w:rPr>
        <w:t>(OMM-</w:t>
      </w:r>
      <w:proofErr w:type="spellStart"/>
      <w:r w:rsidR="002206E8" w:rsidRPr="002206E8">
        <w:rPr>
          <w:i/>
          <w:iCs/>
          <w:spacing w:val="2"/>
          <w:lang w:val="es-ES"/>
        </w:rPr>
        <w:t>N°</w:t>
      </w:r>
      <w:proofErr w:type="spellEnd"/>
      <w:r w:rsidR="003351C7">
        <w:rPr>
          <w:i/>
          <w:iCs/>
          <w:spacing w:val="2"/>
          <w:lang w:val="es-ES"/>
        </w:rPr>
        <w:t> </w:t>
      </w:r>
      <w:r w:rsidR="002206E8" w:rsidRPr="002206E8">
        <w:rPr>
          <w:i/>
          <w:iCs/>
          <w:spacing w:val="2"/>
          <w:lang w:val="es-ES"/>
        </w:rPr>
        <w:t>1165)</w:t>
      </w:r>
      <w:r w:rsidR="002206E8" w:rsidRPr="002206E8">
        <w:rPr>
          <w:i/>
          <w:iCs/>
          <w:lang w:val="es-ES"/>
        </w:rPr>
        <w:t xml:space="preserve">, </w:t>
      </w:r>
      <w:r w:rsidRPr="002206E8">
        <w:rPr>
          <w:i/>
          <w:iCs/>
          <w:lang w:val="es-ES"/>
        </w:rPr>
        <w:t>capítulos 6 y 7 relativ</w:t>
      </w:r>
      <w:r w:rsidR="003351C7">
        <w:rPr>
          <w:i/>
          <w:iCs/>
          <w:lang w:val="es-ES"/>
        </w:rPr>
        <w:t>o</w:t>
      </w:r>
      <w:r w:rsidRPr="002206E8">
        <w:rPr>
          <w:i/>
          <w:iCs/>
          <w:lang w:val="es-ES"/>
        </w:rPr>
        <w:t>s a la GBON</w:t>
      </w:r>
      <w:r w:rsidR="002206E8" w:rsidRPr="002206E8">
        <w:rPr>
          <w:i/>
          <w:iCs/>
          <w:lang w:val="es-ES"/>
        </w:rPr>
        <w:t>.</w:t>
      </w:r>
      <w:r w:rsidRPr="002206E8">
        <w:rPr>
          <w:i/>
          <w:iCs/>
          <w:lang w:val="es-ES"/>
        </w:rPr>
        <w:t>]</w:t>
      </w:r>
    </w:p>
    <w:p w14:paraId="29063773" w14:textId="3B2617FA" w:rsidR="00B2502A" w:rsidRDefault="00B2502A" w:rsidP="00B2502A">
      <w:pPr>
        <w:pStyle w:val="WMOBodyText"/>
        <w:tabs>
          <w:tab w:val="left" w:pos="1134"/>
        </w:tabs>
        <w:ind w:hanging="11"/>
      </w:pPr>
      <w:r>
        <w:t>2.</w:t>
      </w:r>
      <w:r>
        <w:tab/>
      </w:r>
      <w:r>
        <w:rPr>
          <w:lang w:val="es-ES"/>
        </w:rPr>
        <w:t xml:space="preserve">El proyecto de la Guía de </w:t>
      </w:r>
      <w:r w:rsidR="002206E8">
        <w:rPr>
          <w:lang w:val="es-ES"/>
        </w:rPr>
        <w:t xml:space="preserve">la </w:t>
      </w:r>
      <w:r>
        <w:rPr>
          <w:lang w:val="es-ES"/>
        </w:rPr>
        <w:t xml:space="preserve">Red Mundial Básica de Observaciones es fruto del trabajo realizado por el Equipo Especial </w:t>
      </w:r>
      <w:r w:rsidR="002206E8">
        <w:rPr>
          <w:lang w:val="es-ES"/>
        </w:rPr>
        <w:t xml:space="preserve">sobre </w:t>
      </w:r>
      <w:r>
        <w:rPr>
          <w:lang w:val="es-ES"/>
        </w:rPr>
        <w:t>la Implementación de la GBON (TT</w:t>
      </w:r>
      <w:r>
        <w:rPr>
          <w:lang w:val="es-ES"/>
        </w:rPr>
        <w:noBreakHyphen/>
        <w:t>GBON)</w:t>
      </w:r>
      <w:r w:rsidR="003351C7">
        <w:rPr>
          <w:lang w:val="es-ES"/>
        </w:rPr>
        <w:t>,</w:t>
      </w:r>
      <w:r>
        <w:rPr>
          <w:lang w:val="es-ES"/>
        </w:rPr>
        <w:t xml:space="preserve"> de conformidad con la </w:t>
      </w:r>
      <w:hyperlink r:id="rId15" w:anchor="page=33" w:history="1">
        <w:r w:rsidRPr="00197DB8">
          <w:rPr>
            <w:rStyle w:val="Hyperlink"/>
            <w:lang w:val="es-ES"/>
          </w:rPr>
          <w:t>Resolución 2 (Cg-Ext(2021</w:t>
        </w:r>
        <w:r>
          <w:rPr>
            <w:rStyle w:val="Hyperlink"/>
            <w:lang w:val="es-ES"/>
          </w:rPr>
          <w:t>)</w:t>
        </w:r>
        <w:r w:rsidRPr="00197DB8">
          <w:rPr>
            <w:rStyle w:val="Hyperlink"/>
            <w:lang w:val="es-ES"/>
          </w:rPr>
          <w:t>)</w:t>
        </w:r>
      </w:hyperlink>
      <w:r>
        <w:rPr>
          <w:lang w:val="es-ES"/>
        </w:rPr>
        <w:t xml:space="preserve"> </w:t>
      </w:r>
      <w:r w:rsidRPr="009D6720">
        <w:rPr>
          <w:lang w:val="es-ES"/>
        </w:rPr>
        <w:t>—</w:t>
      </w:r>
      <w:r>
        <w:rPr>
          <w:lang w:val="es-ES"/>
        </w:rPr>
        <w:t xml:space="preserve"> Enmiendas al Reglamento Técnico relativas al establecimiento de la Red Mundial Básica de Observaciones.</w:t>
      </w:r>
    </w:p>
    <w:p w14:paraId="3D9E9DC2" w14:textId="77777777" w:rsidR="00B2502A" w:rsidRPr="00F220E4" w:rsidRDefault="00B2502A" w:rsidP="00B2502A">
      <w:pPr>
        <w:pStyle w:val="WMOBodyText"/>
        <w:tabs>
          <w:tab w:val="left" w:pos="567"/>
        </w:tabs>
        <w:rPr>
          <w:b/>
          <w:bCs/>
        </w:rPr>
      </w:pPr>
      <w:r>
        <w:rPr>
          <w:b/>
          <w:bCs/>
          <w:lang w:val="es-ES"/>
        </w:rPr>
        <w:t>Medida prevista</w:t>
      </w:r>
    </w:p>
    <w:p w14:paraId="0916EC7A" w14:textId="3F21F083" w:rsidR="00B2502A" w:rsidRDefault="00692B98" w:rsidP="00B2502A">
      <w:pPr>
        <w:pStyle w:val="WMOBodyText"/>
        <w:tabs>
          <w:tab w:val="left" w:pos="1134"/>
        </w:tabs>
        <w:ind w:hanging="11"/>
      </w:pPr>
      <w:bookmarkStart w:id="1" w:name="_Ref108012355"/>
      <w:r>
        <w:t>3</w:t>
      </w:r>
      <w:r w:rsidR="00B2502A">
        <w:t>.</w:t>
      </w:r>
      <w:r w:rsidR="00B2502A">
        <w:tab/>
      </w:r>
      <w:r w:rsidR="00B2502A">
        <w:rPr>
          <w:lang w:val="es-ES"/>
        </w:rPr>
        <w:t xml:space="preserve">De acuerdo con lo expuesto anteriormente, puede que </w:t>
      </w:r>
      <w:r>
        <w:rPr>
          <w:lang w:val="es-ES"/>
        </w:rPr>
        <w:t>el Consejo Ejecutivo</w:t>
      </w:r>
      <w:r w:rsidR="00B2502A">
        <w:rPr>
          <w:lang w:val="es-ES"/>
        </w:rPr>
        <w:t xml:space="preserve"> desee </w:t>
      </w:r>
      <w:r>
        <w:rPr>
          <w:lang w:val="es-ES"/>
        </w:rPr>
        <w:t>aprobar una resolución</w:t>
      </w:r>
      <w:r w:rsidR="00B2502A">
        <w:rPr>
          <w:lang w:val="es-ES"/>
        </w:rPr>
        <w:t>.</w:t>
      </w:r>
      <w:bookmarkEnd w:id="1"/>
    </w:p>
    <w:p w14:paraId="093B0A1C" w14:textId="77777777" w:rsidR="00581CFE" w:rsidRPr="00633FDB" w:rsidRDefault="00581CFE" w:rsidP="00581CFE">
      <w:pPr>
        <w:tabs>
          <w:tab w:val="clear" w:pos="1134"/>
        </w:tabs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18579E4F" w14:textId="59CFA98D" w:rsidR="00B2502A" w:rsidRPr="00633FDB" w:rsidRDefault="00B2502A" w:rsidP="00B2502A">
      <w:pPr>
        <w:pStyle w:val="Heading1"/>
        <w:rPr>
          <w:lang w:val="es-ES_tradnl"/>
        </w:rPr>
      </w:pPr>
      <w:bookmarkStart w:id="2" w:name="_DRAFT_RESOLUTION_4.2/1_(EC-64)_-_PU"/>
      <w:bookmarkStart w:id="3" w:name="_DRAFT_RESOLUTION_X.X/1"/>
      <w:bookmarkStart w:id="4" w:name="_Proyecto_de_Recomendación"/>
      <w:bookmarkEnd w:id="2"/>
      <w:bookmarkEnd w:id="3"/>
      <w:bookmarkEnd w:id="4"/>
      <w:r w:rsidRPr="00633FDB">
        <w:rPr>
          <w:lang w:val="es-ES_tradnl"/>
        </w:rPr>
        <w:lastRenderedPageBreak/>
        <w:t>PROYECTO</w:t>
      </w:r>
      <w:r>
        <w:rPr>
          <w:lang w:val="es-ES_tradnl"/>
        </w:rPr>
        <w:t>S</w:t>
      </w:r>
      <w:r w:rsidRPr="00633FDB">
        <w:rPr>
          <w:lang w:val="es-ES_tradnl"/>
        </w:rPr>
        <w:t xml:space="preserve"> DE RESOLUCIÓN</w:t>
      </w:r>
    </w:p>
    <w:p w14:paraId="7460F737" w14:textId="59DE6002" w:rsidR="00B2502A" w:rsidRPr="00633FDB" w:rsidRDefault="00B2502A" w:rsidP="00B2502A">
      <w:pPr>
        <w:pStyle w:val="Heading2"/>
      </w:pPr>
      <w:r w:rsidRPr="00633FDB">
        <w:t xml:space="preserve">Proyecto de Resolución </w:t>
      </w:r>
      <w:r>
        <w:t>3.2(3)</w:t>
      </w:r>
      <w:r w:rsidRPr="00633FDB">
        <w:t>/1 (EC-7</w:t>
      </w:r>
      <w:r>
        <w:t>6</w:t>
      </w:r>
      <w:r w:rsidRPr="00633FDB">
        <w:t>)</w:t>
      </w:r>
    </w:p>
    <w:p w14:paraId="79AC5693" w14:textId="105ED52B" w:rsidR="00B2502A" w:rsidRPr="00676F85" w:rsidRDefault="00B2502A" w:rsidP="00676F85">
      <w:pPr>
        <w:pStyle w:val="Heading3"/>
        <w:spacing w:after="240"/>
        <w:jc w:val="center"/>
        <w:rPr>
          <w:b w:val="0"/>
          <w:bCs w:val="0"/>
          <w:sz w:val="22"/>
          <w:szCs w:val="22"/>
          <w:lang w:val="es-ES"/>
        </w:rPr>
      </w:pPr>
      <w:r w:rsidRPr="00676F85">
        <w:rPr>
          <w:sz w:val="22"/>
          <w:szCs w:val="22"/>
          <w:lang w:val="es-ES"/>
        </w:rPr>
        <w:t>Guía de la Red Mundial Básica de Observaciones</w:t>
      </w:r>
    </w:p>
    <w:p w14:paraId="2EB499EF" w14:textId="118D6D72" w:rsidR="00B2502A" w:rsidRPr="00395E1D" w:rsidRDefault="00B2502A" w:rsidP="00B2502A">
      <w:pPr>
        <w:pStyle w:val="Heading3"/>
        <w:spacing w:after="240"/>
        <w:rPr>
          <w:b w:val="0"/>
          <w:bCs w:val="0"/>
          <w:lang w:val="es-ES"/>
        </w:rPr>
      </w:pPr>
      <w:r w:rsidRPr="00395E1D">
        <w:rPr>
          <w:b w:val="0"/>
          <w:bCs w:val="0"/>
          <w:lang w:val="es-ES"/>
        </w:rPr>
        <w:t>EL CONSEJO EJECUTIVO</w:t>
      </w:r>
      <w:r>
        <w:rPr>
          <w:b w:val="0"/>
          <w:bCs w:val="0"/>
          <w:lang w:val="es-ES"/>
        </w:rPr>
        <w:t>,</w:t>
      </w:r>
    </w:p>
    <w:p w14:paraId="61823F36" w14:textId="77777777" w:rsidR="00B2502A" w:rsidRDefault="00B2502A" w:rsidP="00B2502A">
      <w:pPr>
        <w:pStyle w:val="WMOBodyText"/>
      </w:pPr>
      <w:r>
        <w:rPr>
          <w:b/>
          <w:bCs/>
          <w:lang w:val="es-ES"/>
        </w:rPr>
        <w:t>Recordando:</w:t>
      </w:r>
    </w:p>
    <w:p w14:paraId="5CBFEF34" w14:textId="77777777" w:rsidR="00B2502A" w:rsidRPr="00615B75" w:rsidRDefault="00B2502A" w:rsidP="00B2502A">
      <w:pPr>
        <w:pStyle w:val="WMOBodyText"/>
        <w:ind w:left="567" w:hanging="567"/>
        <w:rPr>
          <w:color w:val="000000"/>
          <w:shd w:val="clear" w:color="auto" w:fill="FFFFFF"/>
        </w:rPr>
      </w:pPr>
      <w:r w:rsidRPr="00615B75">
        <w:t>1)</w:t>
      </w:r>
      <w:r w:rsidRPr="00615B75">
        <w:tab/>
      </w:r>
      <w:r>
        <w:t xml:space="preserve">la </w:t>
      </w:r>
      <w:hyperlink r:id="rId16" w:anchor="page=37" w:history="1">
        <w:r w:rsidRPr="00197DB8">
          <w:rPr>
            <w:rStyle w:val="Hyperlink"/>
          </w:rPr>
          <w:t>Resolución 9 (EC-73)</w:t>
        </w:r>
      </w:hyperlink>
      <w:r>
        <w:t xml:space="preserve"> — Plan para la Fase Operativa Inicial del Sistema Mundial Integrado de Sistemas de Observación de la OMM (2020-2023),</w:t>
      </w:r>
    </w:p>
    <w:p w14:paraId="4A489002" w14:textId="461CD576" w:rsidR="00B2502A" w:rsidRPr="00615B75" w:rsidRDefault="00B2502A" w:rsidP="00B2502A">
      <w:pPr>
        <w:pStyle w:val="WMOBodyText"/>
        <w:ind w:left="567" w:hanging="567"/>
        <w:rPr>
          <w:color w:val="000000"/>
          <w:shd w:val="clear" w:color="auto" w:fill="FFFFFF"/>
        </w:rPr>
      </w:pPr>
      <w:r w:rsidRPr="00615B75">
        <w:t>2)</w:t>
      </w:r>
      <w:r w:rsidRPr="00615B75">
        <w:tab/>
      </w:r>
      <w:r>
        <w:t xml:space="preserve">la </w:t>
      </w:r>
      <w:hyperlink r:id="rId17" w:anchor="page=233" w:history="1">
        <w:r w:rsidRPr="00197DB8">
          <w:rPr>
            <w:rStyle w:val="Hyperlink"/>
          </w:rPr>
          <w:t>Resolución 13 (EC-73)</w:t>
        </w:r>
      </w:hyperlink>
      <w:r>
        <w:t xml:space="preserve"> — </w:t>
      </w:r>
      <w:r>
        <w:rPr>
          <w:i/>
          <w:iCs/>
        </w:rPr>
        <w:t>Guía del Sistema Mundial Integrado de Sistemas de Observación de la OMM</w:t>
      </w:r>
      <w:r>
        <w:t xml:space="preserve"> (OMM-</w:t>
      </w:r>
      <w:proofErr w:type="spellStart"/>
      <w:r>
        <w:t>Nº</w:t>
      </w:r>
      <w:proofErr w:type="spellEnd"/>
      <w:r w:rsidR="00692B98">
        <w:t> </w:t>
      </w:r>
      <w:r>
        <w:t>1165),</w:t>
      </w:r>
    </w:p>
    <w:p w14:paraId="5CC968B4" w14:textId="77777777" w:rsidR="00B2502A" w:rsidRPr="00615B75" w:rsidRDefault="00B2502A" w:rsidP="00B2502A">
      <w:pPr>
        <w:pStyle w:val="WMOBodyText"/>
        <w:ind w:left="567" w:hanging="567"/>
        <w:rPr>
          <w:color w:val="000000"/>
          <w:shd w:val="clear" w:color="auto" w:fill="FFFFFF"/>
        </w:rPr>
      </w:pPr>
      <w:r w:rsidRPr="00615B75">
        <w:t>3)</w:t>
      </w:r>
      <w:r w:rsidRPr="00615B75">
        <w:tab/>
      </w:r>
      <w:r>
        <w:t xml:space="preserve">la </w:t>
      </w:r>
      <w:hyperlink r:id="rId18" w:anchor="page=10" w:history="1">
        <w:r w:rsidRPr="00197DB8">
          <w:rPr>
            <w:rStyle w:val="Hyperlink"/>
          </w:rPr>
          <w:t>Resolución 1 (Cg-Ext(2021))</w:t>
        </w:r>
      </w:hyperlink>
      <w:r>
        <w:t xml:space="preserve"> — Política Unificada de la Organización Meteorológica Mundial para el Intercambio Internacional de Datos del Sistema Tierra,</w:t>
      </w:r>
    </w:p>
    <w:p w14:paraId="35C2A246" w14:textId="77777777" w:rsidR="00B2502A" w:rsidRPr="002676AF" w:rsidRDefault="00B2502A" w:rsidP="00B2502A">
      <w:pPr>
        <w:pStyle w:val="WMOBodyText"/>
        <w:ind w:left="567" w:hanging="567"/>
        <w:rPr>
          <w:color w:val="000000"/>
          <w:shd w:val="clear" w:color="auto" w:fill="FFFFFF"/>
        </w:rPr>
      </w:pPr>
      <w:r w:rsidRPr="002676AF">
        <w:t>4)</w:t>
      </w:r>
      <w:r w:rsidRPr="002676AF">
        <w:tab/>
      </w:r>
      <w:r>
        <w:t xml:space="preserve">la </w:t>
      </w:r>
      <w:hyperlink r:id="rId19" w:anchor="page=33" w:history="1">
        <w:r w:rsidRPr="00197DB8">
          <w:rPr>
            <w:rStyle w:val="Hyperlink"/>
          </w:rPr>
          <w:t>Resolución 2 (Cg-Ext(2021))</w:t>
        </w:r>
      </w:hyperlink>
      <w:r>
        <w:t xml:space="preserve"> — Enmiendas al Reglamento Técnico relativas al establecimiento de la Red Mundial Básica de Observaciones,</w:t>
      </w:r>
    </w:p>
    <w:p w14:paraId="06D82BF4" w14:textId="77777777" w:rsidR="00B2502A" w:rsidRDefault="00B2502A" w:rsidP="00B2502A">
      <w:pPr>
        <w:pStyle w:val="WMOBodyText"/>
      </w:pPr>
      <w:bookmarkStart w:id="5" w:name="_Hlk116469366"/>
      <w:r>
        <w:rPr>
          <w:b/>
          <w:bCs/>
          <w:lang w:val="es-ES"/>
        </w:rPr>
        <w:t>Reconociendo</w:t>
      </w:r>
      <w:r>
        <w:rPr>
          <w:lang w:val="es-ES"/>
        </w:rPr>
        <w:t xml:space="preserve"> que para elaborar esa Guía se requieren conocimientos técnicos y recursos considerables,</w:t>
      </w:r>
    </w:p>
    <w:p w14:paraId="2E1ADEEC" w14:textId="424EC16B" w:rsidR="00B2502A" w:rsidRPr="005E2ADC" w:rsidRDefault="00B2502A" w:rsidP="00B2502A">
      <w:pPr>
        <w:pStyle w:val="WMOBodyText"/>
      </w:pPr>
      <w:r>
        <w:rPr>
          <w:b/>
          <w:bCs/>
          <w:lang w:val="es-ES"/>
        </w:rPr>
        <w:t>Reconociendo también</w:t>
      </w:r>
      <w:r>
        <w:rPr>
          <w:lang w:val="es-ES"/>
        </w:rPr>
        <w:t xml:space="preserve"> la necesidad urgente de proporcionar a los Miembros material de orientación sobre la Red Mundial Básica de Observaciones (GBON) para facilitar la aplicación de las disposiciones especificadas en el </w:t>
      </w:r>
      <w:hyperlink r:id="rId20" w:anchor=".Y024nexBz0o" w:history="1">
        <w:r w:rsidR="003351C7" w:rsidRPr="002676A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>
        <w:rPr>
          <w:lang w:val="es-ES"/>
        </w:rPr>
        <w:t xml:space="preserve"> (OMM-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 1160), </w:t>
      </w:r>
      <w:r w:rsidR="00133DFA">
        <w:rPr>
          <w:lang w:val="es-ES"/>
        </w:rPr>
        <w:t xml:space="preserve">que figuran en la </w:t>
      </w:r>
      <w:hyperlink r:id="rId21" w:anchor="page=87" w:history="1">
        <w:r w:rsidRPr="00F70EC1">
          <w:rPr>
            <w:rStyle w:val="Hyperlink"/>
            <w:lang w:val="es-ES"/>
          </w:rPr>
          <w:t>sección 3.2.2</w:t>
        </w:r>
      </w:hyperlink>
      <w:r>
        <w:rPr>
          <w:lang w:val="es-ES"/>
        </w:rPr>
        <w:t xml:space="preserve"> </w:t>
      </w:r>
      <w:r w:rsidR="003351C7">
        <w:rPr>
          <w:lang w:val="es-ES"/>
        </w:rPr>
        <w:t>titulada “</w:t>
      </w:r>
      <w:r>
        <w:rPr>
          <w:lang w:val="es-ES"/>
        </w:rPr>
        <w:t>Red Mundial Básica de Observaciones</w:t>
      </w:r>
      <w:r w:rsidR="003351C7">
        <w:rPr>
          <w:lang w:val="es-ES"/>
        </w:rPr>
        <w:t>”</w:t>
      </w:r>
      <w:r>
        <w:rPr>
          <w:lang w:val="es-ES"/>
        </w:rPr>
        <w:t>,</w:t>
      </w:r>
    </w:p>
    <w:bookmarkEnd w:id="5"/>
    <w:p w14:paraId="57E6CED0" w14:textId="7EC33B40" w:rsidR="00B2502A" w:rsidRDefault="00133DFA" w:rsidP="00B2502A">
      <w:pPr>
        <w:pStyle w:val="WMOBodyText"/>
        <w:spacing w:before="360"/>
      </w:pPr>
      <w:r>
        <w:rPr>
          <w:b/>
          <w:bCs/>
        </w:rPr>
        <w:t>Notando</w:t>
      </w:r>
      <w:r w:rsidR="00B2502A">
        <w:rPr>
          <w:lang w:val="es-ES"/>
        </w:rPr>
        <w:t xml:space="preserve"> la </w:t>
      </w:r>
      <w:hyperlink r:id="rId22" w:history="1">
        <w:r w:rsidR="00B2502A" w:rsidRPr="00133DFA">
          <w:rPr>
            <w:rStyle w:val="Hyperlink"/>
            <w:lang w:val="es-ES"/>
          </w:rPr>
          <w:t xml:space="preserve">Resolución </w:t>
        </w:r>
        <w:r w:rsidRPr="00133DFA">
          <w:rPr>
            <w:rStyle w:val="Hyperlink"/>
            <w:lang w:val="es-ES"/>
          </w:rPr>
          <w:t>3.2(1)/1</w:t>
        </w:r>
        <w:r w:rsidR="00B2502A" w:rsidRPr="00133DFA">
          <w:rPr>
            <w:rStyle w:val="Hyperlink"/>
            <w:lang w:val="es-ES"/>
          </w:rPr>
          <w:t xml:space="preserve"> (EC-76)</w:t>
        </w:r>
      </w:hyperlink>
      <w:r w:rsidR="00B2502A">
        <w:rPr>
          <w:lang w:val="es-ES"/>
        </w:rPr>
        <w:t xml:space="preserve"> — Enmiendas al </w:t>
      </w:r>
      <w:hyperlink r:id="rId23" w:anchor=".Y024nexBz0o" w:history="1">
        <w:r w:rsidR="00B2502A" w:rsidRPr="002676A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="00B2502A">
        <w:rPr>
          <w:lang w:val="es-ES"/>
        </w:rPr>
        <w:t xml:space="preserve"> (OMM-</w:t>
      </w:r>
      <w:proofErr w:type="spellStart"/>
      <w:r w:rsidR="00B2502A">
        <w:rPr>
          <w:lang w:val="es-ES"/>
        </w:rPr>
        <w:t>Nº</w:t>
      </w:r>
      <w:proofErr w:type="spellEnd"/>
      <w:r>
        <w:rPr>
          <w:lang w:val="es-ES"/>
        </w:rPr>
        <w:t> </w:t>
      </w:r>
      <w:r w:rsidR="00B2502A">
        <w:rPr>
          <w:lang w:val="es-ES"/>
        </w:rPr>
        <w:t xml:space="preserve">1160), y la </w:t>
      </w:r>
      <w:hyperlink r:id="rId24" w:history="1">
        <w:r w:rsidR="00B2502A" w:rsidRPr="00346F3D">
          <w:rPr>
            <w:rStyle w:val="Hyperlink"/>
            <w:lang w:val="es-ES"/>
          </w:rPr>
          <w:t xml:space="preserve">Resolución </w:t>
        </w:r>
        <w:r w:rsidR="00346F3D" w:rsidRPr="00346F3D">
          <w:rPr>
            <w:rStyle w:val="Hyperlink"/>
            <w:lang w:val="es-ES"/>
          </w:rPr>
          <w:t>3.2(2)/1</w:t>
        </w:r>
        <w:r w:rsidR="00B2502A" w:rsidRPr="00346F3D">
          <w:rPr>
            <w:rStyle w:val="Hyperlink"/>
            <w:lang w:val="es-ES"/>
          </w:rPr>
          <w:t xml:space="preserve"> (EC</w:t>
        </w:r>
        <w:r w:rsidR="00B2502A" w:rsidRPr="00346F3D">
          <w:rPr>
            <w:rStyle w:val="Hyperlink"/>
            <w:lang w:val="es-ES"/>
          </w:rPr>
          <w:noBreakHyphen/>
          <w:t>76)</w:t>
        </w:r>
      </w:hyperlink>
      <w:r w:rsidR="00B2502A">
        <w:rPr>
          <w:lang w:val="es-ES"/>
        </w:rPr>
        <w:t xml:space="preserve"> — </w:t>
      </w:r>
      <w:hyperlink r:id="rId25" w:anchor=".Y025IuxBz0o" w:history="1">
        <w:r w:rsidR="00B2502A" w:rsidRPr="002676AF">
          <w:rPr>
            <w:rStyle w:val="Hyperlink"/>
            <w:i/>
            <w:iCs/>
            <w:lang w:val="es-ES"/>
          </w:rPr>
          <w:t>Guía del Sistema Mundial Integrado de Sistemas de Observación de la OMM</w:t>
        </w:r>
      </w:hyperlink>
      <w:r w:rsidR="00B2502A">
        <w:rPr>
          <w:lang w:val="es-ES"/>
        </w:rPr>
        <w:t xml:space="preserve"> (OMM</w:t>
      </w:r>
      <w:r w:rsidR="00B2502A">
        <w:rPr>
          <w:lang w:val="es-ES"/>
        </w:rPr>
        <w:noBreakHyphen/>
      </w:r>
      <w:proofErr w:type="spellStart"/>
      <w:r w:rsidR="00B2502A">
        <w:rPr>
          <w:lang w:val="es-ES"/>
        </w:rPr>
        <w:t>Nº</w:t>
      </w:r>
      <w:proofErr w:type="spellEnd"/>
      <w:r w:rsidR="00B2502A">
        <w:rPr>
          <w:lang w:val="es-ES"/>
        </w:rPr>
        <w:t> 1165),</w:t>
      </w:r>
      <w:bookmarkStart w:id="6" w:name="_Hlk63955301"/>
      <w:bookmarkStart w:id="7" w:name="_Hlk116472403"/>
      <w:bookmarkStart w:id="8" w:name="_Hlk108188550"/>
      <w:bookmarkEnd w:id="6"/>
      <w:bookmarkEnd w:id="7"/>
      <w:bookmarkEnd w:id="8"/>
    </w:p>
    <w:p w14:paraId="4C98DB8D" w14:textId="77777777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t>Habiendo examinado</w:t>
      </w:r>
      <w:r>
        <w:rPr>
          <w:lang w:val="es-ES"/>
        </w:rPr>
        <w:t xml:space="preserve"> la </w:t>
      </w:r>
      <w:hyperlink w:anchor="_Proyecto_de_Recomendación" w:history="1">
        <w:r w:rsidRPr="00F70EC1">
          <w:rPr>
            <w:rStyle w:val="Hyperlink"/>
            <w:lang w:val="es-ES"/>
          </w:rPr>
          <w:t>Recomendación 6.1(12)/1 (INFCOM-2)</w:t>
        </w:r>
      </w:hyperlink>
      <w:r>
        <w:rPr>
          <w:lang w:val="es-ES"/>
        </w:rPr>
        <w:t xml:space="preserve"> — Versión inicial de la Guía de la Red Mundial Básica de Observaciones,</w:t>
      </w:r>
    </w:p>
    <w:p w14:paraId="1F2B8FD5" w14:textId="625EF751" w:rsidR="00B2502A" w:rsidRDefault="00346F3D" w:rsidP="00B2502A">
      <w:pPr>
        <w:pStyle w:val="WMOBodyText"/>
        <w:spacing w:before="360"/>
        <w:rPr>
          <w:rFonts w:eastAsia="MS Mincho"/>
        </w:rPr>
      </w:pPr>
      <w:r>
        <w:rPr>
          <w:b/>
          <w:bCs/>
          <w:lang w:val="es-ES"/>
        </w:rPr>
        <w:t>Notando</w:t>
      </w:r>
      <w:r w:rsidR="00B2502A">
        <w:rPr>
          <w:b/>
          <w:bCs/>
          <w:lang w:val="es-ES"/>
        </w:rPr>
        <w:t xml:space="preserve"> también</w:t>
      </w:r>
      <w:r w:rsidR="00B2502A">
        <w:rPr>
          <w:lang w:val="es-ES"/>
        </w:rPr>
        <w:t xml:space="preserve"> la recomendación del presidente de la </w:t>
      </w:r>
      <w:r>
        <w:rPr>
          <w:lang w:val="es-ES"/>
        </w:rPr>
        <w:t>Comisión de Observaciones, Infraestructura y Sistemas de Información (</w:t>
      </w:r>
      <w:r w:rsidR="00B2502A">
        <w:rPr>
          <w:lang w:val="es-ES"/>
        </w:rPr>
        <w:t>INFCOM</w:t>
      </w:r>
      <w:r>
        <w:rPr>
          <w:lang w:val="es-ES"/>
        </w:rPr>
        <w:t>)</w:t>
      </w:r>
      <w:r w:rsidR="00B2502A">
        <w:rPr>
          <w:lang w:val="es-ES"/>
        </w:rPr>
        <w:t xml:space="preserve"> acerca de la versión actualizada de la Guía de la Red Mundial Básica de Observaciones</w:t>
      </w:r>
      <w:r w:rsidR="009D0A3A">
        <w:rPr>
          <w:lang w:val="es-ES"/>
        </w:rPr>
        <w:t xml:space="preserve"> </w:t>
      </w:r>
      <w:r w:rsidR="00B2502A">
        <w:rPr>
          <w:lang w:val="es-ES"/>
        </w:rPr>
        <w:t xml:space="preserve">elaborada por el Equipo Especial </w:t>
      </w:r>
      <w:r>
        <w:rPr>
          <w:lang w:val="es-ES"/>
        </w:rPr>
        <w:t>sobre</w:t>
      </w:r>
      <w:r w:rsidR="00B2502A">
        <w:rPr>
          <w:lang w:val="es-ES"/>
        </w:rPr>
        <w:t xml:space="preserve"> la Implementación de la Red Mundial Básica de Observaciones (TT-GBON)</w:t>
      </w:r>
      <w:r>
        <w:rPr>
          <w:lang w:val="es-ES"/>
        </w:rPr>
        <w:t>,</w:t>
      </w:r>
      <w:r w:rsidR="00B2502A">
        <w:rPr>
          <w:lang w:val="es-ES"/>
        </w:rPr>
        <w:t xml:space="preserve"> de conformidad con la </w:t>
      </w:r>
      <w:hyperlink r:id="rId26" w:history="1">
        <w:r w:rsidR="00B2502A" w:rsidRPr="00346F3D">
          <w:rPr>
            <w:rStyle w:val="Hyperlink"/>
            <w:lang w:val="es-ES"/>
          </w:rPr>
          <w:t>Recomendación 6.1(12)/1 (INFCOM-2)</w:t>
        </w:r>
      </w:hyperlink>
      <w:r w:rsidR="00B2502A">
        <w:rPr>
          <w:lang w:val="es-ES"/>
        </w:rPr>
        <w:t>,</w:t>
      </w:r>
    </w:p>
    <w:p w14:paraId="6539AF86" w14:textId="7F3BC884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t xml:space="preserve">Habiendo examinado </w:t>
      </w:r>
      <w:r w:rsidR="00346F3D">
        <w:rPr>
          <w:b/>
          <w:bCs/>
          <w:lang w:val="es-ES"/>
        </w:rPr>
        <w:t>además</w:t>
      </w:r>
      <w:r>
        <w:rPr>
          <w:lang w:val="es-ES"/>
        </w:rPr>
        <w:t xml:space="preserve"> la versión actualizada de la Guía de la Red Mundial Básica de Observaciones propuesta por la INFCOM, que figura en el </w:t>
      </w:r>
      <w:hyperlink w:anchor="AnexoProyectoResolución" w:history="1">
        <w:r w:rsidRPr="009D0A3A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</w:t>
      </w:r>
      <w:r w:rsidR="009D0A3A">
        <w:rPr>
          <w:lang w:val="es-ES"/>
        </w:rPr>
        <w:t>r</w:t>
      </w:r>
      <w:r>
        <w:rPr>
          <w:lang w:val="es-ES"/>
        </w:rPr>
        <w:t>esolución,</w:t>
      </w:r>
    </w:p>
    <w:p w14:paraId="710F9D04" w14:textId="0F3AB725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t>Reconociendo</w:t>
      </w:r>
      <w:r>
        <w:rPr>
          <w:lang w:val="es-ES"/>
        </w:rPr>
        <w:t xml:space="preserve"> con aprecio la elaboración del presente documento como la Guía de la Red Mundial Básica de Observaciones,</w:t>
      </w:r>
    </w:p>
    <w:p w14:paraId="5FCD3D3F" w14:textId="68358B8E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lastRenderedPageBreak/>
        <w:t>Adopta</w:t>
      </w:r>
      <w:r>
        <w:rPr>
          <w:lang w:val="es-ES"/>
        </w:rPr>
        <w:t xml:space="preserve"> la Guía de la Red Mundial Básica de Observaciones, que figura en el </w:t>
      </w:r>
      <w:hyperlink w:anchor="AnexoProyectoResolución" w:history="1">
        <w:r w:rsidRPr="009D0A3A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</w:t>
      </w:r>
      <w:r w:rsidR="009D0A3A">
        <w:rPr>
          <w:lang w:val="es-ES"/>
        </w:rPr>
        <w:t>r</w:t>
      </w:r>
      <w:r>
        <w:rPr>
          <w:lang w:val="es-ES"/>
        </w:rPr>
        <w:t>esolución;</w:t>
      </w:r>
    </w:p>
    <w:p w14:paraId="5FB3858F" w14:textId="0174F926" w:rsidR="00B2502A" w:rsidRDefault="00B2502A" w:rsidP="00B2502A">
      <w:pPr>
        <w:pStyle w:val="WMOBodyText"/>
        <w:spacing w:before="360"/>
        <w:rPr>
          <w:rFonts w:eastAsia="MS Mincho" w:cs="Verdana,Bold"/>
          <w:b/>
          <w:bCs/>
        </w:rPr>
      </w:pPr>
      <w:r>
        <w:rPr>
          <w:b/>
          <w:bCs/>
          <w:lang w:val="es-ES"/>
        </w:rPr>
        <w:t>Autoriza</w:t>
      </w:r>
      <w:r>
        <w:rPr>
          <w:lang w:val="es-ES"/>
        </w:rPr>
        <w:t xml:space="preserve"> al Secretario General </w:t>
      </w:r>
      <w:r w:rsidR="009D0A3A" w:rsidRPr="009D0A3A">
        <w:rPr>
          <w:lang w:val="es-ES"/>
        </w:rPr>
        <w:t>a efectuar todas las enmiendas de carácter estrictamente editorial</w:t>
      </w:r>
      <w:r>
        <w:rPr>
          <w:lang w:val="es-ES"/>
        </w:rPr>
        <w:t xml:space="preserve"> en el </w:t>
      </w:r>
      <w:hyperlink w:anchor="AnexoProyectoResolución" w:history="1">
        <w:r w:rsidRPr="00DC2FA3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</w:t>
      </w:r>
      <w:r w:rsidR="009D0A3A">
        <w:rPr>
          <w:lang w:val="es-ES"/>
        </w:rPr>
        <w:t>r</w:t>
      </w:r>
      <w:r>
        <w:rPr>
          <w:lang w:val="es-ES"/>
        </w:rPr>
        <w:t>esolución;</w:t>
      </w:r>
    </w:p>
    <w:p w14:paraId="05179977" w14:textId="77777777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t>Pide</w:t>
      </w:r>
      <w:r>
        <w:rPr>
          <w:lang w:val="es-ES"/>
        </w:rPr>
        <w:t xml:space="preserve"> al Secretario General:</w:t>
      </w:r>
    </w:p>
    <w:p w14:paraId="61DF3A80" w14:textId="62C41EC5" w:rsidR="00DC2FA3" w:rsidRDefault="00DC2FA3" w:rsidP="00B2502A">
      <w:pPr>
        <w:pStyle w:val="WMOBodyText"/>
        <w:ind w:left="567" w:hanging="567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 xml:space="preserve">que tome las medidas necesarias para incluir la Guía de la Red Mundial Básica de Observaciones en la </w:t>
      </w:r>
      <w:hyperlink r:id="rId27" w:anchor=".Y025IuxBz0o" w:history="1">
        <w:r w:rsidRPr="002676AF">
          <w:rPr>
            <w:rStyle w:val="Hyperlink"/>
            <w:i/>
            <w:iCs/>
            <w:lang w:val="es-ES"/>
          </w:rPr>
          <w:t>Guía del Sistema Mundial Integrado de Sistemas de Observación de la OMM</w:t>
        </w:r>
      </w:hyperlink>
      <w:r>
        <w:rPr>
          <w:lang w:val="es-ES"/>
        </w:rPr>
        <w:t xml:space="preserve"> (OMM</w:t>
      </w:r>
      <w:r>
        <w:rPr>
          <w:lang w:val="es-ES"/>
        </w:rPr>
        <w:noBreakHyphen/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> 1165) como un nuevo capítulo;</w:t>
      </w:r>
    </w:p>
    <w:p w14:paraId="7BFE957A" w14:textId="54430430" w:rsidR="00DC2FA3" w:rsidRDefault="00DC2FA3" w:rsidP="00B2502A">
      <w:pPr>
        <w:pStyle w:val="WMOBodyText"/>
        <w:ind w:left="567" w:hanging="567"/>
        <w:rPr>
          <w:lang w:val="es-ES"/>
        </w:rPr>
      </w:pPr>
      <w:r>
        <w:rPr>
          <w:lang w:val="es-ES"/>
        </w:rPr>
        <w:t>2</w:t>
      </w:r>
      <w:r w:rsidR="00B2502A">
        <w:rPr>
          <w:lang w:val="es-ES"/>
        </w:rPr>
        <w:t>)</w:t>
      </w:r>
      <w:r w:rsidR="00B2502A">
        <w:rPr>
          <w:lang w:val="es-ES"/>
        </w:rPr>
        <w:tab/>
      </w:r>
      <w:r>
        <w:rPr>
          <w:lang w:val="es-ES"/>
        </w:rPr>
        <w:t>que vele por la coherencia editorial de los documentos pertinentes;</w:t>
      </w:r>
    </w:p>
    <w:p w14:paraId="12585E7F" w14:textId="33E7876C" w:rsidR="00B2502A" w:rsidRDefault="00DC2FA3" w:rsidP="00B2502A">
      <w:pPr>
        <w:pStyle w:val="WMOBodyText"/>
        <w:ind w:left="567" w:hanging="567"/>
      </w:pPr>
      <w:r>
        <w:rPr>
          <w:lang w:val="es-ES"/>
        </w:rPr>
        <w:t>3</w:t>
      </w:r>
      <w:r w:rsidR="00B2502A">
        <w:rPr>
          <w:lang w:val="es-ES"/>
        </w:rPr>
        <w:t>)</w:t>
      </w:r>
      <w:r w:rsidR="00B2502A">
        <w:rPr>
          <w:lang w:val="es-ES"/>
        </w:rPr>
        <w:tab/>
      </w:r>
      <w:r>
        <w:rPr>
          <w:lang w:val="es-ES"/>
        </w:rPr>
        <w:t>que publique la Guía de la Red Mundial Básica de Observaciones en todos los idiomas oficiales de la Organización Meteorológica Mundial (OMM)</w:t>
      </w:r>
      <w:r w:rsidR="00B2502A">
        <w:rPr>
          <w:lang w:val="es-ES"/>
        </w:rPr>
        <w:t>;</w:t>
      </w:r>
    </w:p>
    <w:p w14:paraId="632DD985" w14:textId="77777777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t>Pide</w:t>
      </w:r>
      <w:r>
        <w:rPr>
          <w:lang w:val="es-ES"/>
        </w:rPr>
        <w:t xml:space="preserve"> a la Comisión de Observaciones, Infraestructura y Sistemas de Información que continúe elaborando y mejorando la Guía con material adicional a medida que esté disponible;</w:t>
      </w:r>
    </w:p>
    <w:p w14:paraId="70FEA3AC" w14:textId="77777777" w:rsidR="00B2502A" w:rsidRDefault="00B2502A" w:rsidP="00B2502A">
      <w:pPr>
        <w:pStyle w:val="WMOBodyText"/>
        <w:spacing w:before="360"/>
        <w:rPr>
          <w:rFonts w:eastAsia="MS Mincho"/>
          <w:color w:val="000000"/>
        </w:rPr>
      </w:pPr>
      <w:r>
        <w:rPr>
          <w:b/>
          <w:bCs/>
          <w:lang w:val="es-ES"/>
        </w:rPr>
        <w:t>Invita</w:t>
      </w:r>
      <w:r>
        <w:rPr>
          <w:lang w:val="es-ES"/>
        </w:rPr>
        <w:t xml:space="preserve"> a los Miembros:</w:t>
      </w:r>
    </w:p>
    <w:p w14:paraId="73D9EDF3" w14:textId="77777777" w:rsidR="00B2502A" w:rsidRDefault="00B2502A" w:rsidP="00B2502A">
      <w:pPr>
        <w:pStyle w:val="WMOBodyText"/>
        <w:ind w:left="567" w:hanging="567"/>
      </w:pPr>
      <w:r>
        <w:rPr>
          <w:lang w:val="es-ES"/>
        </w:rPr>
        <w:t>1)</w:t>
      </w:r>
      <w:r>
        <w:rPr>
          <w:lang w:val="es-ES"/>
        </w:rPr>
        <w:tab/>
        <w:t>a que utilicen la Guía cuando implementen la GBON;</w:t>
      </w:r>
    </w:p>
    <w:p w14:paraId="0A8A75D9" w14:textId="77777777" w:rsidR="00B2502A" w:rsidRDefault="00B2502A" w:rsidP="00B2502A">
      <w:pPr>
        <w:pStyle w:val="WMOBodyText"/>
        <w:ind w:left="567" w:hanging="567"/>
      </w:pPr>
      <w:r>
        <w:rPr>
          <w:lang w:val="es-ES"/>
        </w:rPr>
        <w:t>2)</w:t>
      </w:r>
      <w:r>
        <w:rPr>
          <w:lang w:val="es-ES"/>
        </w:rPr>
        <w:tab/>
        <w:t>a que formulen observaciones al Secretario General acerca de cómo mejorar las versiones posteriores de la Guía.</w:t>
      </w:r>
    </w:p>
    <w:p w14:paraId="7CD7AEF7" w14:textId="77777777" w:rsidR="00B2502A" w:rsidRDefault="00B2502A" w:rsidP="00B2502A">
      <w:pPr>
        <w:pStyle w:val="WMOBodyText"/>
        <w:spacing w:before="480" w:after="480"/>
        <w:jc w:val="center"/>
      </w:pPr>
      <w:r>
        <w:rPr>
          <w:lang w:val="es-ES"/>
        </w:rPr>
        <w:t>______________</w:t>
      </w:r>
    </w:p>
    <w:p w14:paraId="79602F37" w14:textId="48D86CAD" w:rsidR="00B2502A" w:rsidRPr="00A37787" w:rsidRDefault="00C75B32" w:rsidP="00B2502A">
      <w:pPr>
        <w:pStyle w:val="WMOBodyText"/>
        <w:spacing w:before="0" w:after="120"/>
        <w:rPr>
          <w:color w:val="0000FF"/>
        </w:rPr>
      </w:pPr>
      <w:hyperlink w:anchor="AnexoProyectoResolución" w:history="1">
        <w:r w:rsidR="00B2502A" w:rsidRPr="00DC2FA3">
          <w:rPr>
            <w:rStyle w:val="Hyperlink"/>
          </w:rPr>
          <w:t>Anexo: 1</w:t>
        </w:r>
      </w:hyperlink>
    </w:p>
    <w:p w14:paraId="57F4DE18" w14:textId="77777777" w:rsidR="00676F85" w:rsidRPr="00B24FC9" w:rsidRDefault="00676F85" w:rsidP="00676F85">
      <w:pPr>
        <w:pStyle w:val="WMOBodyText"/>
      </w:pPr>
      <w:r w:rsidRPr="00B24FC9">
        <w:t>_______</w:t>
      </w:r>
    </w:p>
    <w:p w14:paraId="7A0049FD" w14:textId="77777777" w:rsidR="00B2502A" w:rsidRDefault="00B2502A" w:rsidP="00B2502A">
      <w:pPr>
        <w:tabs>
          <w:tab w:val="clear" w:pos="1134"/>
        </w:tabs>
        <w:jc w:val="left"/>
        <w:rPr>
          <w:rFonts w:eastAsia="Verdana" w:cs="Verdana"/>
          <w:lang w:val="es-ES_tradnl" w:eastAsia="zh-TW"/>
        </w:rPr>
      </w:pPr>
      <w:r w:rsidRPr="00CB378C">
        <w:rPr>
          <w:lang w:val="es-ES"/>
        </w:rPr>
        <w:br w:type="page"/>
      </w:r>
    </w:p>
    <w:p w14:paraId="7823563C" w14:textId="5F7C6A30" w:rsidR="00B2502A" w:rsidRDefault="00B2502A" w:rsidP="00B2502A">
      <w:pPr>
        <w:pStyle w:val="WMOBodyText"/>
        <w:spacing w:before="480" w:after="360"/>
        <w:jc w:val="center"/>
        <w:rPr>
          <w:rFonts w:ascii="Verdana,Bold" w:eastAsia="MS Mincho" w:hAnsi="Verdana,Bold" w:cs="Verdana,Bold"/>
          <w:b/>
          <w:bCs/>
          <w:color w:val="000000"/>
        </w:rPr>
      </w:pPr>
      <w:bookmarkStart w:id="9" w:name="AnexoProyectoResolución"/>
      <w:bookmarkEnd w:id="9"/>
      <w:r>
        <w:rPr>
          <w:b/>
          <w:bCs/>
          <w:lang w:val="es-ES"/>
        </w:rPr>
        <w:lastRenderedPageBreak/>
        <w:t xml:space="preserve">Anexo al proyecto de </w:t>
      </w:r>
      <w:r w:rsidR="00D671B4">
        <w:rPr>
          <w:b/>
          <w:bCs/>
          <w:lang w:val="es-ES"/>
        </w:rPr>
        <w:t>r</w:t>
      </w:r>
      <w:r>
        <w:rPr>
          <w:b/>
          <w:bCs/>
          <w:lang w:val="es-ES"/>
        </w:rPr>
        <w:t>esolución</w:t>
      </w:r>
      <w:r w:rsidR="009D0A3A">
        <w:rPr>
          <w:b/>
          <w:bCs/>
        </w:rPr>
        <w:t xml:space="preserve"> 3.2(3)</w:t>
      </w:r>
      <w:r>
        <w:rPr>
          <w:b/>
          <w:bCs/>
        </w:rPr>
        <w:t>/1 (EC-76)</w:t>
      </w:r>
    </w:p>
    <w:p w14:paraId="7EB02837" w14:textId="53617A26" w:rsidR="00B2502A" w:rsidRPr="00CB378C" w:rsidRDefault="00B2502A" w:rsidP="00B2502A">
      <w:pPr>
        <w:tabs>
          <w:tab w:val="left" w:pos="720"/>
        </w:tabs>
        <w:autoSpaceDE w:val="0"/>
        <w:autoSpaceDN w:val="0"/>
        <w:adjustRightInd w:val="0"/>
        <w:spacing w:after="360"/>
        <w:jc w:val="center"/>
        <w:rPr>
          <w:rFonts w:ascii="Verdana,Bold" w:eastAsia="MS Mincho" w:hAnsi="Verdana,Bold" w:cs="Verdana,Bold"/>
          <w:b/>
          <w:bCs/>
          <w:color w:val="000000"/>
          <w:lang w:val="es-ES"/>
        </w:rPr>
      </w:pPr>
      <w:r>
        <w:rPr>
          <w:b/>
          <w:bCs/>
          <w:lang w:val="es-ES"/>
        </w:rPr>
        <w:t>GUÍA DE LA RED MUNDIAL BÁSICA DE OBSERVACIONES</w:t>
      </w:r>
      <w:r w:rsidR="00A84DE0">
        <w:rPr>
          <w:b/>
          <w:bCs/>
          <w:lang w:val="es-ES"/>
        </w:rPr>
        <w:t xml:space="preserve"> </w:t>
      </w:r>
    </w:p>
    <w:p w14:paraId="4703BFE4" w14:textId="7FA5AB29" w:rsidR="00B2502A" w:rsidRPr="00615B75" w:rsidRDefault="00B2502A" w:rsidP="00B2502A">
      <w:pPr>
        <w:pStyle w:val="WMOBodyText"/>
        <w:jc w:val="center"/>
        <w:rPr>
          <w:lang w:val="fr-FR"/>
        </w:rPr>
      </w:pPr>
      <w:r w:rsidRPr="00615B75">
        <w:rPr>
          <w:rFonts w:eastAsia="MS Mincho"/>
          <w:color w:val="000000"/>
          <w:lang w:val="fr-FR"/>
        </w:rPr>
        <w:t>(</w:t>
      </w:r>
      <w:proofErr w:type="spellStart"/>
      <w:r w:rsidRPr="00615B75">
        <w:rPr>
          <w:rFonts w:eastAsia="MS Mincho"/>
          <w:color w:val="000000"/>
          <w:lang w:val="fr-FR"/>
        </w:rPr>
        <w:t>Document</w:t>
      </w:r>
      <w:r>
        <w:rPr>
          <w:rFonts w:eastAsia="MS Mincho"/>
          <w:color w:val="000000"/>
          <w:lang w:val="fr-FR"/>
        </w:rPr>
        <w:t>o</w:t>
      </w:r>
      <w:proofErr w:type="spellEnd"/>
      <w:r w:rsidRPr="00615B75">
        <w:rPr>
          <w:rFonts w:eastAsia="MS Mincho"/>
          <w:color w:val="000000"/>
          <w:lang w:val="fr-FR"/>
        </w:rPr>
        <w:t>:</w:t>
      </w:r>
      <w:r w:rsidRPr="00DC2FA3">
        <w:rPr>
          <w:lang w:val="fr-FR"/>
        </w:rPr>
        <w:t xml:space="preserve"> </w:t>
      </w:r>
      <w:hyperlink r:id="rId28" w:history="1">
        <w:r w:rsidR="00DC2FA3" w:rsidRPr="00A02153">
          <w:rPr>
            <w:rStyle w:val="Hyperlink"/>
            <w:rFonts w:eastAsia="MS Mincho"/>
            <w:lang w:val="fr-FR"/>
          </w:rPr>
          <w:t>EC-76-d03–2(3)-GBON-GUIDE-ANNEX-draft1_en.docx</w:t>
        </w:r>
      </w:hyperlink>
      <w:r w:rsidRPr="00615B75">
        <w:rPr>
          <w:rFonts w:eastAsia="MS Mincho"/>
          <w:color w:val="000000"/>
          <w:lang w:val="fr-FR"/>
        </w:rPr>
        <w:t>)</w:t>
      </w:r>
    </w:p>
    <w:p w14:paraId="75E555AE" w14:textId="77777777" w:rsidR="00B2502A" w:rsidRPr="00615B75" w:rsidRDefault="00B2502A" w:rsidP="00B2502A">
      <w:pPr>
        <w:pStyle w:val="WMOBodyText"/>
        <w:spacing w:before="480"/>
        <w:jc w:val="center"/>
        <w:rPr>
          <w:lang w:val="fr-FR"/>
        </w:rPr>
      </w:pPr>
      <w:r>
        <w:rPr>
          <w:lang w:val="fr-FR"/>
        </w:rPr>
        <w:t>______________</w:t>
      </w:r>
    </w:p>
    <w:p w14:paraId="0E427151" w14:textId="77777777" w:rsidR="00864DBF" w:rsidRPr="00DC2FA3" w:rsidRDefault="00864DBF" w:rsidP="00581CFE">
      <w:pPr>
        <w:pStyle w:val="Heading1"/>
        <w:rPr>
          <w:lang w:val="fr-FR"/>
        </w:rPr>
      </w:pPr>
    </w:p>
    <w:sectPr w:rsidR="00864DBF" w:rsidRPr="00DC2FA3" w:rsidSect="0020095E">
      <w:headerReference w:type="default" r:id="rId29"/>
      <w:headerReference w:type="first" r:id="rId30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58A2" w14:textId="77777777" w:rsidR="000A7943" w:rsidRDefault="000A7943">
      <w:r>
        <w:separator/>
      </w:r>
    </w:p>
    <w:p w14:paraId="276706B6" w14:textId="77777777" w:rsidR="000A7943" w:rsidRDefault="000A7943"/>
    <w:p w14:paraId="36792F03" w14:textId="77777777" w:rsidR="000A7943" w:rsidRDefault="000A7943"/>
  </w:endnote>
  <w:endnote w:type="continuationSeparator" w:id="0">
    <w:p w14:paraId="34D2CE65" w14:textId="77777777" w:rsidR="000A7943" w:rsidRDefault="000A7943">
      <w:r>
        <w:continuationSeparator/>
      </w:r>
    </w:p>
    <w:p w14:paraId="1644C5A5" w14:textId="77777777" w:rsidR="000A7943" w:rsidRDefault="000A7943"/>
    <w:p w14:paraId="675F1352" w14:textId="77777777" w:rsidR="000A7943" w:rsidRDefault="000A7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EF0B" w14:textId="77777777" w:rsidR="000A7943" w:rsidRDefault="000A7943">
      <w:r>
        <w:separator/>
      </w:r>
    </w:p>
  </w:footnote>
  <w:footnote w:type="continuationSeparator" w:id="0">
    <w:p w14:paraId="4E5CA735" w14:textId="77777777" w:rsidR="000A7943" w:rsidRDefault="000A7943">
      <w:r>
        <w:continuationSeparator/>
      </w:r>
    </w:p>
    <w:p w14:paraId="53876FA6" w14:textId="77777777" w:rsidR="000A7943" w:rsidRDefault="000A7943"/>
    <w:p w14:paraId="0DD31384" w14:textId="77777777" w:rsidR="000A7943" w:rsidRDefault="000A7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B82" w14:textId="7A774C49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9B25C7">
      <w:t>3.2(3)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342389">
    <w:abstractNumId w:val="29"/>
  </w:num>
  <w:num w:numId="2" w16cid:durableId="2070954634">
    <w:abstractNumId w:val="44"/>
  </w:num>
  <w:num w:numId="3" w16cid:durableId="1298143228">
    <w:abstractNumId w:val="27"/>
  </w:num>
  <w:num w:numId="4" w16cid:durableId="857616546">
    <w:abstractNumId w:val="36"/>
  </w:num>
  <w:num w:numId="5" w16cid:durableId="1342391711">
    <w:abstractNumId w:val="17"/>
  </w:num>
  <w:num w:numId="6" w16cid:durableId="937443552">
    <w:abstractNumId w:val="22"/>
  </w:num>
  <w:num w:numId="7" w16cid:durableId="1204249880">
    <w:abstractNumId w:val="18"/>
  </w:num>
  <w:num w:numId="8" w16cid:durableId="1011033979">
    <w:abstractNumId w:val="30"/>
  </w:num>
  <w:num w:numId="9" w16cid:durableId="1356887617">
    <w:abstractNumId w:val="21"/>
  </w:num>
  <w:num w:numId="10" w16cid:durableId="755057252">
    <w:abstractNumId w:val="20"/>
  </w:num>
  <w:num w:numId="11" w16cid:durableId="83379083">
    <w:abstractNumId w:val="35"/>
  </w:num>
  <w:num w:numId="12" w16cid:durableId="684789315">
    <w:abstractNumId w:val="11"/>
  </w:num>
  <w:num w:numId="13" w16cid:durableId="302467653">
    <w:abstractNumId w:val="25"/>
  </w:num>
  <w:num w:numId="14" w16cid:durableId="37248877">
    <w:abstractNumId w:val="40"/>
  </w:num>
  <w:num w:numId="15" w16cid:durableId="1635985559">
    <w:abstractNumId w:val="19"/>
  </w:num>
  <w:num w:numId="16" w16cid:durableId="1679573537">
    <w:abstractNumId w:val="9"/>
  </w:num>
  <w:num w:numId="17" w16cid:durableId="1803305863">
    <w:abstractNumId w:val="7"/>
  </w:num>
  <w:num w:numId="18" w16cid:durableId="1058241720">
    <w:abstractNumId w:val="6"/>
  </w:num>
  <w:num w:numId="19" w16cid:durableId="1332028569">
    <w:abstractNumId w:val="5"/>
  </w:num>
  <w:num w:numId="20" w16cid:durableId="1367873463">
    <w:abstractNumId w:val="4"/>
  </w:num>
  <w:num w:numId="21" w16cid:durableId="771436571">
    <w:abstractNumId w:val="8"/>
  </w:num>
  <w:num w:numId="22" w16cid:durableId="2084715841">
    <w:abstractNumId w:val="3"/>
  </w:num>
  <w:num w:numId="23" w16cid:durableId="1630471419">
    <w:abstractNumId w:val="2"/>
  </w:num>
  <w:num w:numId="24" w16cid:durableId="1364596247">
    <w:abstractNumId w:val="1"/>
  </w:num>
  <w:num w:numId="25" w16cid:durableId="1351443733">
    <w:abstractNumId w:val="0"/>
  </w:num>
  <w:num w:numId="26" w16cid:durableId="590821783">
    <w:abstractNumId w:val="42"/>
  </w:num>
  <w:num w:numId="27" w16cid:durableId="1732458263">
    <w:abstractNumId w:val="31"/>
  </w:num>
  <w:num w:numId="28" w16cid:durableId="973607366">
    <w:abstractNumId w:val="23"/>
  </w:num>
  <w:num w:numId="29" w16cid:durableId="648829639">
    <w:abstractNumId w:val="32"/>
  </w:num>
  <w:num w:numId="30" w16cid:durableId="1522746196">
    <w:abstractNumId w:val="33"/>
  </w:num>
  <w:num w:numId="31" w16cid:durableId="1313366594">
    <w:abstractNumId w:val="14"/>
  </w:num>
  <w:num w:numId="32" w16cid:durableId="1754164639">
    <w:abstractNumId w:val="39"/>
  </w:num>
  <w:num w:numId="33" w16cid:durableId="714962608">
    <w:abstractNumId w:val="37"/>
  </w:num>
  <w:num w:numId="34" w16cid:durableId="946471572">
    <w:abstractNumId w:val="24"/>
  </w:num>
  <w:num w:numId="35" w16cid:durableId="98532118">
    <w:abstractNumId w:val="26"/>
  </w:num>
  <w:num w:numId="36" w16cid:durableId="2142727742">
    <w:abstractNumId w:val="43"/>
  </w:num>
  <w:num w:numId="37" w16cid:durableId="1042169912">
    <w:abstractNumId w:val="34"/>
  </w:num>
  <w:num w:numId="38" w16cid:durableId="637879833">
    <w:abstractNumId w:val="12"/>
  </w:num>
  <w:num w:numId="39" w16cid:durableId="1623224506">
    <w:abstractNumId w:val="13"/>
  </w:num>
  <w:num w:numId="40" w16cid:durableId="2021662676">
    <w:abstractNumId w:val="15"/>
  </w:num>
  <w:num w:numId="41" w16cid:durableId="667295511">
    <w:abstractNumId w:val="10"/>
  </w:num>
  <w:num w:numId="42" w16cid:durableId="1588270483">
    <w:abstractNumId w:val="41"/>
  </w:num>
  <w:num w:numId="43" w16cid:durableId="1173716297">
    <w:abstractNumId w:val="16"/>
  </w:num>
  <w:num w:numId="44" w16cid:durableId="1704788888">
    <w:abstractNumId w:val="28"/>
  </w:num>
  <w:num w:numId="45" w16cid:durableId="799549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A7943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33DFA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206E8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351C7"/>
    <w:rsid w:val="00342E34"/>
    <w:rsid w:val="00344F8D"/>
    <w:rsid w:val="00346F3D"/>
    <w:rsid w:val="0035040A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76F5E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76F85"/>
    <w:rsid w:val="0068392D"/>
    <w:rsid w:val="00692B98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25C7"/>
    <w:rsid w:val="009B6697"/>
    <w:rsid w:val="009C2EA4"/>
    <w:rsid w:val="009C4C04"/>
    <w:rsid w:val="009D0A3A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4DE0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1A"/>
    <w:rsid w:val="00B165E6"/>
    <w:rsid w:val="00B235DB"/>
    <w:rsid w:val="00B2502A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3B87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5B32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534C3"/>
    <w:rsid w:val="00D671B4"/>
    <w:rsid w:val="00D7097B"/>
    <w:rsid w:val="00D91DFA"/>
    <w:rsid w:val="00DA159A"/>
    <w:rsid w:val="00DA4CFF"/>
    <w:rsid w:val="00DB1AB2"/>
    <w:rsid w:val="00DC2FA3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639C3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EC-76/English/Forms/AllItems.aspx?RootFolder=%2fEC%2d76%2fEnglish%2f1%2e%20DRAFTS%20FOR%20DISCUSSION&amp;FolderCTID=0x0120002E248E5BDF8F774FB72A5FDD5565F016" TargetMode="External"/><Relationship Id="rId18" Type="http://schemas.openxmlformats.org/officeDocument/2006/relationships/hyperlink" Target="https://library.wmo.int/doc_num.php?explnum_id=11140" TargetMode="External"/><Relationship Id="rId26" Type="http://schemas.openxmlformats.org/officeDocument/2006/relationships/hyperlink" Target="https://meetings.wmo.int/INFCOM-2/_layouts/15/WopiFrame.aspx?sourcedoc=/INFCOM-2/Spanish/2.%20VERSI%C3%93N%20PROVISIONAL%20DEL%20INFORME%20(Documentos%20aprobados)/INFCOM-2-d06-1(12)-GBON-GUIDE-INITIAL-VERSION-approved_es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wmo.int/doc_num.php?explnum_id=1116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40" TargetMode="External"/><Relationship Id="rId17" Type="http://schemas.openxmlformats.org/officeDocument/2006/relationships/hyperlink" Target="https://library.wmo.int/doc_num.php?explnum_id=11030" TargetMode="External"/><Relationship Id="rId25" Type="http://schemas.openxmlformats.org/officeDocument/2006/relationships/hyperlink" Target="https://library.wmo.int/index.php?lvl=notice_display&amp;id=201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1030" TargetMode="External"/><Relationship Id="rId20" Type="http://schemas.openxmlformats.org/officeDocument/2006/relationships/hyperlink" Target="https://library.wmo.int/index.php?lvl=notice_display&amp;id=1951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meetings.wmo.int/EC-76/English/Forms/AllItems.aspx?RootFolder=%2fEC%2d76%2fEnglish%2f1%2e%20DRAFTS%20FOR%20DISCUSSION&amp;FolderCTID=0x0120002E248E5BDF8F774FB72A5FDD5565F016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140" TargetMode="External"/><Relationship Id="rId23" Type="http://schemas.openxmlformats.org/officeDocument/2006/relationships/hyperlink" Target="https://library.wmo.int/index.php?lvl=notice_display&amp;id=19511" TargetMode="External"/><Relationship Id="rId28" Type="http://schemas.openxmlformats.org/officeDocument/2006/relationships/hyperlink" Target="https://meetings.wmo.int/EC-76/_layouts/15/WopiFrame.aspx?sourcedoc=/EC-76/Spanish/1.%20Versiones%20para%20debate/EC-76-d03-2(3)-GBON-GUIDE-ANNEX-draft1_es.docx&amp;action=defaul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14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mo.int/EC-76/English/Forms/AllItems.aspx?RootFolder=%2fEC%2d76%2fEnglish%2f1%2e%20DRAFTS%20FOR%20DISCUSSION&amp;FolderCTID=0x0120002E248E5BDF8F774FB72A5FDD5565F016" TargetMode="External"/><Relationship Id="rId22" Type="http://schemas.openxmlformats.org/officeDocument/2006/relationships/hyperlink" Target="https://meetings.wmo.int/EC-76/English/Forms/AllItems.aspx?RootFolder=%2fEC%2d76%2fEnglish%2f1%2e%20DRAFTS%20FOR%20DISCUSSION&amp;FolderCTID=0x0120002E248E5BDF8F774FB72A5FDD5565F016" TargetMode="External"/><Relationship Id="rId27" Type="http://schemas.openxmlformats.org/officeDocument/2006/relationships/hyperlink" Target="https://library.wmo.int/index.php?lvl=notice_display&amp;id=20137" TargetMode="External"/><Relationship Id="rId3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D6D7C-CD95-4D16-BC0C-86C428B64E98}"/>
</file>

<file path=customXml/itemProps2.xml><?xml version="1.0" encoding="utf-8"?>
<ds:datastoreItem xmlns:ds="http://schemas.openxmlformats.org/officeDocument/2006/customXml" ds:itemID="{BC59668A-4A6F-4DC9-8818-A3C57A648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4C997-AFE9-4FD5-8B67-4DD00902483D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</Template>
  <TotalTime>138</TotalTime>
  <Pages>5</Pages>
  <Words>1342</Words>
  <Characters>7386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8711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5</cp:revision>
  <cp:lastPrinted>2013-03-12T09:27:00Z</cp:lastPrinted>
  <dcterms:created xsi:type="dcterms:W3CDTF">2023-02-03T12:03:00Z</dcterms:created>
  <dcterms:modified xsi:type="dcterms:W3CDTF">2023-02-13T08:49:00Z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